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A37" w:rsidRPr="002B0A37" w:rsidRDefault="00110976" w:rsidP="002B0A37">
      <w:pPr>
        <w:spacing w:line="480" w:lineRule="auto"/>
        <w:contextualSpacing/>
        <w:jc w:val="center"/>
        <w:rPr>
          <w:rFonts w:ascii="Times New Roman" w:hAnsi="Times New Roman" w:cs="Times New Roman"/>
          <w:sz w:val="24"/>
          <w:szCs w:val="24"/>
        </w:rPr>
      </w:pPr>
    </w:p>
    <w:p w:rsidR="002B0A37" w:rsidRPr="002B0A37" w:rsidRDefault="00110976" w:rsidP="002B0A37">
      <w:pPr>
        <w:spacing w:line="480" w:lineRule="auto"/>
        <w:contextualSpacing/>
        <w:rPr>
          <w:rFonts w:ascii="Times New Roman" w:hAnsi="Times New Roman" w:cs="Times New Roman"/>
          <w:sz w:val="24"/>
          <w:szCs w:val="24"/>
        </w:rPr>
      </w:pPr>
      <w:r w:rsidRPr="002B0A37">
        <w:rPr>
          <w:rFonts w:ascii="Times New Roman" w:hAnsi="Times New Roman" w:cs="Times New Roman"/>
          <w:sz w:val="24"/>
          <w:szCs w:val="24"/>
        </w:rPr>
        <w:t>Name</w:t>
      </w:r>
    </w:p>
    <w:p w:rsidR="002B0A37" w:rsidRPr="002B0A37" w:rsidRDefault="00110976" w:rsidP="002B0A37">
      <w:pPr>
        <w:spacing w:line="480" w:lineRule="auto"/>
        <w:contextualSpacing/>
        <w:rPr>
          <w:rFonts w:ascii="Times New Roman" w:hAnsi="Times New Roman" w:cs="Times New Roman"/>
          <w:sz w:val="24"/>
          <w:szCs w:val="24"/>
        </w:rPr>
      </w:pPr>
      <w:r w:rsidRPr="002B0A37">
        <w:rPr>
          <w:rFonts w:ascii="Times New Roman" w:hAnsi="Times New Roman" w:cs="Times New Roman"/>
          <w:sz w:val="24"/>
          <w:szCs w:val="24"/>
        </w:rPr>
        <w:t>Instructors Name</w:t>
      </w:r>
    </w:p>
    <w:p w:rsidR="002B0A37" w:rsidRPr="002B0A37" w:rsidRDefault="00110976" w:rsidP="002B0A37">
      <w:pPr>
        <w:spacing w:line="480" w:lineRule="auto"/>
        <w:contextualSpacing/>
        <w:rPr>
          <w:rFonts w:ascii="Times New Roman" w:hAnsi="Times New Roman" w:cs="Times New Roman"/>
          <w:sz w:val="24"/>
          <w:szCs w:val="24"/>
        </w:rPr>
      </w:pPr>
      <w:r w:rsidRPr="002B0A37">
        <w:rPr>
          <w:rFonts w:ascii="Times New Roman" w:hAnsi="Times New Roman" w:cs="Times New Roman"/>
          <w:sz w:val="24"/>
          <w:szCs w:val="24"/>
        </w:rPr>
        <w:t>Course</w:t>
      </w:r>
    </w:p>
    <w:p w:rsidR="002B0A37" w:rsidRPr="002B0A37" w:rsidRDefault="00110976" w:rsidP="002B0A37">
      <w:pPr>
        <w:spacing w:line="480" w:lineRule="auto"/>
        <w:contextualSpacing/>
        <w:rPr>
          <w:rFonts w:ascii="Times New Roman" w:hAnsi="Times New Roman" w:cs="Times New Roman"/>
          <w:sz w:val="24"/>
          <w:szCs w:val="24"/>
        </w:rPr>
      </w:pPr>
      <w:r w:rsidRPr="002B0A37">
        <w:rPr>
          <w:rFonts w:ascii="Times New Roman" w:hAnsi="Times New Roman" w:cs="Times New Roman"/>
          <w:sz w:val="24"/>
          <w:szCs w:val="24"/>
        </w:rPr>
        <w:t>Date</w:t>
      </w:r>
    </w:p>
    <w:p w:rsidR="002B0A37" w:rsidRPr="002B0A37" w:rsidRDefault="00110976" w:rsidP="002B0A37">
      <w:pPr>
        <w:contextualSpacing/>
        <w:jc w:val="center"/>
        <w:rPr>
          <w:rFonts w:ascii="Times New Roman" w:hAnsi="Times New Roman" w:cs="Times New Roman"/>
          <w:b/>
          <w:sz w:val="24"/>
          <w:szCs w:val="24"/>
        </w:rPr>
      </w:pPr>
      <w:r w:rsidRPr="002B0A37">
        <w:rPr>
          <w:rFonts w:ascii="Times New Roman" w:hAnsi="Times New Roman" w:cs="Times New Roman"/>
          <w:b/>
          <w:sz w:val="24"/>
          <w:szCs w:val="24"/>
        </w:rPr>
        <w:t>Diamond Food Company</w:t>
      </w:r>
    </w:p>
    <w:p w:rsidR="002B0A37" w:rsidRPr="002B0A37" w:rsidRDefault="00110976" w:rsidP="002B0A37">
      <w:pPr>
        <w:contextualSpacing/>
        <w:rPr>
          <w:rFonts w:ascii="Times New Roman" w:hAnsi="Times New Roman" w:cs="Times New Roman"/>
          <w:sz w:val="24"/>
          <w:szCs w:val="24"/>
          <w:u w:val="single"/>
        </w:rPr>
      </w:pPr>
      <w:r w:rsidRPr="002B0A37">
        <w:rPr>
          <w:rFonts w:ascii="Times New Roman" w:hAnsi="Times New Roman" w:cs="Times New Roman"/>
          <w:sz w:val="24"/>
          <w:szCs w:val="24"/>
          <w:u w:val="single"/>
        </w:rPr>
        <w:t>Financial Statement Analysis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Diamond Food Company is a Public Traded Company, based in Stockton California. It is an American food packaging brand,</w:t>
      </w:r>
      <w:r>
        <w:rPr>
          <w:rFonts w:ascii="Times New Roman" w:hAnsi="Times New Roman" w:cs="Times New Roman"/>
          <w:sz w:val="24"/>
          <w:szCs w:val="24"/>
        </w:rPr>
        <w:t xml:space="preserve"> specializing in nuts like</w:t>
      </w:r>
      <w:r w:rsidRPr="002B0A37">
        <w:rPr>
          <w:rFonts w:ascii="Times New Roman" w:hAnsi="Times New Roman" w:cs="Times New Roman"/>
          <w:sz w:val="24"/>
          <w:szCs w:val="24"/>
        </w:rPr>
        <w:t xml:space="preserve"> walnuts and almonds. Its known brands include; Kettle brand chips, Emeralds, and pop secret popcorns. It was founded in 1912 as Diamond Walnut Grower Inc. and owned by California Agricultural and Cooperative Association. In July 2005 it was converted to D</w:t>
      </w:r>
      <w:r w:rsidRPr="002B0A37">
        <w:rPr>
          <w:rFonts w:ascii="Times New Roman" w:hAnsi="Times New Roman" w:cs="Times New Roman"/>
          <w:sz w:val="24"/>
          <w:szCs w:val="24"/>
        </w:rPr>
        <w:t>elaware Corporation and the Initial Public Offer stocks were issued as Diamond Foods. Diamond food would expand significantly in the period between 2009 to 2012 by acquiring; Harmony Food and Kettle Foods. In the same period, it grew its market share to co</w:t>
      </w:r>
      <w:r w:rsidRPr="002B0A37">
        <w:rPr>
          <w:rFonts w:ascii="Times New Roman" w:hAnsi="Times New Roman" w:cs="Times New Roman"/>
          <w:sz w:val="24"/>
          <w:szCs w:val="24"/>
        </w:rPr>
        <w:t xml:space="preserve">ntrol around 10% in the US food nuts market.  </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 xml:space="preserve">It planned merger with Pringles would make the company even greater with bigger financial prospects. However, </w:t>
      </w:r>
      <w:r>
        <w:rPr>
          <w:rFonts w:ascii="Times New Roman" w:hAnsi="Times New Roman" w:cs="Times New Roman"/>
          <w:sz w:val="24"/>
          <w:szCs w:val="24"/>
        </w:rPr>
        <w:t xml:space="preserve">progress would be short-lived as it got </w:t>
      </w:r>
      <w:r w:rsidRPr="002B0A37">
        <w:rPr>
          <w:rFonts w:ascii="Times New Roman" w:hAnsi="Times New Roman" w:cs="Times New Roman"/>
          <w:sz w:val="24"/>
          <w:szCs w:val="24"/>
        </w:rPr>
        <w:t>hit by an</w:t>
      </w:r>
      <w:r>
        <w:rPr>
          <w:rFonts w:ascii="Times New Roman" w:hAnsi="Times New Roman" w:cs="Times New Roman"/>
          <w:sz w:val="24"/>
          <w:szCs w:val="24"/>
        </w:rPr>
        <w:t xml:space="preserve"> accounting scandal in Jan 2013.</w:t>
      </w:r>
      <w:r>
        <w:rPr>
          <w:rFonts w:ascii="Times New Roman" w:hAnsi="Times New Roman" w:cs="Times New Roman"/>
          <w:sz w:val="24"/>
          <w:szCs w:val="24"/>
        </w:rPr>
        <w:t xml:space="preserve">  T</w:t>
      </w:r>
      <w:r w:rsidRPr="002B0A37">
        <w:rPr>
          <w:rFonts w:ascii="Times New Roman" w:hAnsi="Times New Roman" w:cs="Times New Roman"/>
          <w:sz w:val="24"/>
          <w:szCs w:val="24"/>
        </w:rPr>
        <w:t>he deal was effectively canceled to signal the beginning of the problem for the food giant. The troubled company woes began when it ceases all production operation at Fishers Indiana plants. It lay off more than 100 employees working at the firm and the</w:t>
      </w:r>
      <w:r w:rsidRPr="002B0A37">
        <w:rPr>
          <w:rFonts w:ascii="Times New Roman" w:hAnsi="Times New Roman" w:cs="Times New Roman"/>
          <w:sz w:val="24"/>
          <w:szCs w:val="24"/>
        </w:rPr>
        <w:t xml:space="preserve"> Harmony brand was discontinued. Court cases exacerbated the company with SEC litigation still pending in court but orders to settle huge payments posing great headwinds to the company financial profitability.</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lastRenderedPageBreak/>
        <w:t>Top executive management was found culpa</w:t>
      </w:r>
      <w:r w:rsidRPr="002B0A37">
        <w:rPr>
          <w:rFonts w:ascii="Times New Roman" w:hAnsi="Times New Roman" w:cs="Times New Roman"/>
          <w:sz w:val="24"/>
          <w:szCs w:val="24"/>
        </w:rPr>
        <w:t>ble of inflating the company net profit by underrating its payments. This manipulation was to deceit investors to invest in the company by boosting earnings (Lynch, 1). The Security and Exchange Commission indicted former Chief Financial Officer Stephen Ne</w:t>
      </w:r>
      <w:r w:rsidRPr="002B0A37">
        <w:rPr>
          <w:rFonts w:ascii="Times New Roman" w:hAnsi="Times New Roman" w:cs="Times New Roman"/>
          <w:sz w:val="24"/>
          <w:szCs w:val="24"/>
        </w:rPr>
        <w:t>il for spearheading the scheme that made the company stock price to soar to $90 per share. The company was forced to restate its financial result with the share price dropping to as low as $17 per share. This</w:t>
      </w:r>
      <w:r>
        <w:rPr>
          <w:rFonts w:ascii="Times New Roman" w:hAnsi="Times New Roman" w:cs="Times New Roman"/>
          <w:sz w:val="24"/>
          <w:szCs w:val="24"/>
        </w:rPr>
        <w:t xml:space="preserve"> drop</w:t>
      </w:r>
      <w:r w:rsidRPr="002B0A37">
        <w:rPr>
          <w:rFonts w:ascii="Times New Roman" w:hAnsi="Times New Roman" w:cs="Times New Roman"/>
          <w:sz w:val="24"/>
          <w:szCs w:val="24"/>
        </w:rPr>
        <w:t xml:space="preserve"> negatively affected its profitability, liq</w:t>
      </w:r>
      <w:r w:rsidRPr="002B0A37">
        <w:rPr>
          <w:rFonts w:ascii="Times New Roman" w:hAnsi="Times New Roman" w:cs="Times New Roman"/>
          <w:sz w:val="24"/>
          <w:szCs w:val="24"/>
        </w:rPr>
        <w:t>uidity, solvency and the markets ratios.</w:t>
      </w:r>
    </w:p>
    <w:tbl>
      <w:tblPr>
        <w:tblStyle w:val="TableGrid"/>
        <w:tblW w:w="0" w:type="auto"/>
        <w:tblLook w:val="04A0" w:firstRow="1" w:lastRow="0" w:firstColumn="1" w:lastColumn="0" w:noHBand="0" w:noVBand="1"/>
      </w:tblPr>
      <w:tblGrid>
        <w:gridCol w:w="2394"/>
        <w:gridCol w:w="3204"/>
        <w:gridCol w:w="3978"/>
      </w:tblGrid>
      <w:tr w:rsidR="00295906" w:rsidTr="00A179DA">
        <w:trPr>
          <w:trHeight w:val="547"/>
        </w:trPr>
        <w:tc>
          <w:tcPr>
            <w:tcW w:w="9576" w:type="dxa"/>
            <w:gridSpan w:val="3"/>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Diamond Food Data extracted from Financial Report By an Independent Public Accounting Firm And Securities Exchange Commission for the two Years under Review</w:t>
            </w:r>
          </w:p>
        </w:tc>
      </w:tr>
      <w:tr w:rsidR="00295906" w:rsidTr="00A179DA">
        <w:trPr>
          <w:trHeight w:val="620"/>
        </w:trPr>
        <w:tc>
          <w:tcPr>
            <w:tcW w:w="5598" w:type="dxa"/>
            <w:gridSpan w:val="2"/>
          </w:tcPr>
          <w:p w:rsidR="002B0A37" w:rsidRPr="002B0A37" w:rsidRDefault="00110976" w:rsidP="00A179DA">
            <w:pPr>
              <w:contextualSpacing/>
              <w:rPr>
                <w:rFonts w:ascii="Times New Roman" w:hAnsi="Times New Roman" w:cs="Times New Roman"/>
                <w:sz w:val="24"/>
                <w:szCs w:val="24"/>
              </w:rPr>
            </w:pPr>
          </w:p>
          <w:p w:rsidR="002B0A37" w:rsidRPr="002B0A37" w:rsidRDefault="00110976" w:rsidP="00A179DA">
            <w:pPr>
              <w:contextualSpacing/>
              <w:jc w:val="center"/>
              <w:rPr>
                <w:rFonts w:ascii="Times New Roman" w:hAnsi="Times New Roman" w:cs="Times New Roman"/>
                <w:sz w:val="24"/>
                <w:szCs w:val="24"/>
              </w:rPr>
            </w:pPr>
            <w:r w:rsidRPr="002B0A37">
              <w:rPr>
                <w:rFonts w:ascii="Times New Roman" w:hAnsi="Times New Roman" w:cs="Times New Roman"/>
                <w:sz w:val="24"/>
                <w:szCs w:val="24"/>
              </w:rPr>
              <w:t>The year 2010</w:t>
            </w:r>
          </w:p>
        </w:tc>
        <w:tc>
          <w:tcPr>
            <w:tcW w:w="3978" w:type="dxa"/>
          </w:tcPr>
          <w:p w:rsidR="002B0A37" w:rsidRPr="002B0A37" w:rsidRDefault="00110976" w:rsidP="00A179DA">
            <w:pPr>
              <w:contextualSpacing/>
              <w:rPr>
                <w:rFonts w:ascii="Times New Roman" w:hAnsi="Times New Roman" w:cs="Times New Roman"/>
                <w:sz w:val="24"/>
                <w:szCs w:val="24"/>
              </w:rPr>
            </w:pPr>
          </w:p>
          <w:p w:rsidR="002B0A37" w:rsidRPr="002B0A37" w:rsidRDefault="00110976" w:rsidP="00A179DA">
            <w:pPr>
              <w:contextualSpacing/>
              <w:jc w:val="center"/>
              <w:rPr>
                <w:rFonts w:ascii="Times New Roman" w:hAnsi="Times New Roman" w:cs="Times New Roman"/>
                <w:sz w:val="24"/>
                <w:szCs w:val="24"/>
              </w:rPr>
            </w:pPr>
            <w:r w:rsidRPr="002B0A37">
              <w:rPr>
                <w:rFonts w:ascii="Times New Roman" w:hAnsi="Times New Roman" w:cs="Times New Roman"/>
                <w:sz w:val="24"/>
                <w:szCs w:val="24"/>
              </w:rPr>
              <w:t>The year 2011</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DETAILS</w:t>
            </w:r>
          </w:p>
        </w:tc>
        <w:tc>
          <w:tcPr>
            <w:tcW w:w="3204" w:type="dxa"/>
          </w:tcPr>
          <w:p w:rsidR="002B0A37" w:rsidRPr="002B0A37" w:rsidRDefault="00110976" w:rsidP="00A179DA">
            <w:pPr>
              <w:contextualSpacing/>
              <w:jc w:val="center"/>
              <w:rPr>
                <w:rFonts w:ascii="Times New Roman" w:hAnsi="Times New Roman" w:cs="Times New Roman"/>
                <w:sz w:val="24"/>
                <w:szCs w:val="24"/>
              </w:rPr>
            </w:pPr>
            <w:r w:rsidRPr="002B0A37">
              <w:rPr>
                <w:rFonts w:ascii="Times New Roman" w:hAnsi="Times New Roman" w:cs="Times New Roman"/>
                <w:sz w:val="24"/>
                <w:szCs w:val="24"/>
              </w:rPr>
              <w:t>AMOUNT</w:t>
            </w:r>
          </w:p>
        </w:tc>
        <w:tc>
          <w:tcPr>
            <w:tcW w:w="3978" w:type="dxa"/>
          </w:tcPr>
          <w:p w:rsidR="002B0A37" w:rsidRPr="002B0A37" w:rsidRDefault="00110976" w:rsidP="00A179DA">
            <w:pPr>
              <w:contextualSpacing/>
              <w:jc w:val="center"/>
              <w:rPr>
                <w:rFonts w:ascii="Times New Roman" w:hAnsi="Times New Roman" w:cs="Times New Roman"/>
                <w:sz w:val="24"/>
                <w:szCs w:val="24"/>
              </w:rPr>
            </w:pPr>
            <w:r w:rsidRPr="002B0A37">
              <w:rPr>
                <w:rFonts w:ascii="Times New Roman" w:hAnsi="Times New Roman" w:cs="Times New Roman"/>
                <w:sz w:val="24"/>
                <w:szCs w:val="24"/>
              </w:rPr>
              <w:t>AMOUNT</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Net sales</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965.9</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680.2</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debts</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531701</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556100</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Assets</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1288,395</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1225872</w:t>
            </w:r>
          </w:p>
        </w:tc>
      </w:tr>
      <w:tr w:rsidR="00295906" w:rsidTr="00A179DA">
        <w:trPr>
          <w:trHeight w:val="206"/>
        </w:trPr>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Net Income</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50211</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26211</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net sales</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965922</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680162</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liabilities</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859900</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146000</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liabilities and stockholders’ equity</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1288395</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1225872</w:t>
            </w:r>
          </w:p>
        </w:tc>
      </w:tr>
      <w:tr w:rsidR="00295906" w:rsidTr="00A179DA">
        <w:tc>
          <w:tcPr>
            <w:tcW w:w="239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Total equity</w:t>
            </w:r>
          </w:p>
        </w:tc>
        <w:tc>
          <w:tcPr>
            <w:tcW w:w="3204"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428495</w:t>
            </w:r>
          </w:p>
        </w:tc>
        <w:tc>
          <w:tcPr>
            <w:tcW w:w="3978" w:type="dxa"/>
          </w:tcPr>
          <w:p w:rsidR="002B0A37" w:rsidRPr="002B0A37" w:rsidRDefault="00110976" w:rsidP="00A179DA">
            <w:pPr>
              <w:contextualSpacing/>
              <w:rPr>
                <w:rFonts w:ascii="Times New Roman" w:hAnsi="Times New Roman" w:cs="Times New Roman"/>
                <w:sz w:val="24"/>
                <w:szCs w:val="24"/>
              </w:rPr>
            </w:pPr>
            <w:r w:rsidRPr="002B0A37">
              <w:rPr>
                <w:rFonts w:ascii="Times New Roman" w:hAnsi="Times New Roman" w:cs="Times New Roman"/>
                <w:sz w:val="24"/>
                <w:szCs w:val="24"/>
              </w:rPr>
              <w:t>1079872</w:t>
            </w:r>
          </w:p>
        </w:tc>
      </w:tr>
    </w:tbl>
    <w:p w:rsidR="002B0A37" w:rsidRPr="002B0A37" w:rsidRDefault="00110976" w:rsidP="002B0A37">
      <w:pPr>
        <w:contextualSpacing/>
        <w:rPr>
          <w:rFonts w:ascii="Times New Roman" w:hAnsi="Times New Roman" w:cs="Times New Roman"/>
          <w:sz w:val="24"/>
          <w:szCs w:val="24"/>
        </w:rPr>
      </w:pPr>
    </w:p>
    <w:p w:rsid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Based on the above data the company performance in term of profitability, liquidity, solvency, and market ratios are as follows;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b/>
          <w:sz w:val="24"/>
          <w:szCs w:val="24"/>
        </w:rPr>
        <w:t>Profitability</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Returns to Equity which is Net Income divided by Equity</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 xml:space="preserve">2011             50211/428495=0.11         </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2010            26211/1079872=0.024</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lastRenderedPageBreak/>
        <w:t>The return to equity is a good index to assess company performance because it shows how the company uses owners or shareholder equity to generate income. There is a significant</w:t>
      </w:r>
      <w:r w:rsidRPr="002B0A37">
        <w:rPr>
          <w:rFonts w:ascii="Times New Roman" w:hAnsi="Times New Roman" w:cs="Times New Roman"/>
          <w:sz w:val="24"/>
          <w:szCs w:val="24"/>
        </w:rPr>
        <w:t xml:space="preserve"> improvement in performance by the company from 2010 to 2011.</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On return to Assets indices, the company exhibited some slight improvement. The return to assets explains the amount of money generated after tax for each $1 an asset. It measures the comp</w:t>
      </w:r>
      <w:r w:rsidRPr="002B0A37">
        <w:rPr>
          <w:rFonts w:ascii="Times New Roman" w:hAnsi="Times New Roman" w:cs="Times New Roman"/>
          <w:sz w:val="24"/>
          <w:szCs w:val="24"/>
        </w:rPr>
        <w:t>any earnings in relations to its resources.</w:t>
      </w:r>
      <w:bookmarkStart w:id="0" w:name="_GoBack"/>
      <w:bookmarkEnd w:id="0"/>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Return to Assets=Net profit Margin multiplied by Assets Turnovers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The company showed positive gains in earnings during the two years the return to asset increased albeit with slight margins.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Gross pro</w:t>
      </w:r>
      <w:r w:rsidRPr="002B0A37">
        <w:rPr>
          <w:rFonts w:ascii="Times New Roman" w:hAnsi="Times New Roman" w:cs="Times New Roman"/>
          <w:sz w:val="24"/>
          <w:szCs w:val="24"/>
        </w:rPr>
        <w:t>fits margins is a good parameter to assess company financial health by revealing the proportion of money left from the revenue, after accounting for costs of goods sold.</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b/>
          <w:sz w:val="24"/>
          <w:szCs w:val="24"/>
        </w:rPr>
        <w:t xml:space="preserve">Gross profit margins= Profit/ Revenues </w:t>
      </w:r>
      <w:r w:rsidRPr="002B0A37">
        <w:rPr>
          <w:rFonts w:ascii="Times New Roman" w:hAnsi="Times New Roman" w:cs="Times New Roman"/>
          <w:sz w:val="24"/>
          <w:szCs w:val="24"/>
        </w:rPr>
        <w:t>multiplied by 100</w:t>
      </w:r>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Liquidity Ratios</w:t>
      </w:r>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Assets/Liabi</w:t>
      </w:r>
      <w:r w:rsidRPr="002B0A37">
        <w:rPr>
          <w:rFonts w:ascii="Times New Roman" w:hAnsi="Times New Roman" w:cs="Times New Roman"/>
          <w:b/>
          <w:sz w:val="24"/>
          <w:szCs w:val="24"/>
        </w:rPr>
        <w:t>lities</w:t>
      </w:r>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 xml:space="preserve">2011           </w:t>
      </w:r>
      <w:r w:rsidRPr="002B0A37">
        <w:rPr>
          <w:rFonts w:ascii="Times New Roman" w:hAnsi="Times New Roman" w:cs="Times New Roman"/>
          <w:sz w:val="24"/>
          <w:szCs w:val="24"/>
        </w:rPr>
        <w:t>1288395/859900=1.5</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2010              1225872/1460000=0.83</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 xml:space="preserve">Based on the above data the company looked on good standing in terms of liquidity with improvement during the two years. Cash from operating activities was $65.7 million cash </w:t>
      </w:r>
      <w:r w:rsidRPr="002B0A37">
        <w:rPr>
          <w:rFonts w:ascii="Times New Roman" w:hAnsi="Times New Roman" w:cs="Times New Roman"/>
          <w:sz w:val="24"/>
          <w:szCs w:val="24"/>
        </w:rPr>
        <w:t>used was $1.6 million showing soundness in liquidity.</w:t>
      </w:r>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Debts to Equity Ratio</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After calculating the debts to equity ratio; which is total liabilities divided by stock holder’s equity. The company shows ratios are within best industries average. It is able ab</w:t>
      </w:r>
      <w:r w:rsidRPr="002B0A37">
        <w:rPr>
          <w:rFonts w:ascii="Times New Roman" w:hAnsi="Times New Roman" w:cs="Times New Roman"/>
          <w:sz w:val="24"/>
          <w:szCs w:val="24"/>
        </w:rPr>
        <w:t xml:space="preserve">ility to </w:t>
      </w:r>
      <w:r w:rsidRPr="002B0A37">
        <w:rPr>
          <w:rFonts w:ascii="Times New Roman" w:hAnsi="Times New Roman" w:cs="Times New Roman"/>
          <w:sz w:val="24"/>
          <w:szCs w:val="24"/>
        </w:rPr>
        <w:lastRenderedPageBreak/>
        <w:t>leverage finance. Debts used to finance assets versus shareholders equity are within recommended margins.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859900/428495=2.00 (2011)</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1460000/1079872=1.35 (2010)</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The slight decline in the margin is explained by huge spending done in the year 2010 to</w:t>
      </w:r>
      <w:r w:rsidRPr="002B0A37">
        <w:rPr>
          <w:rFonts w:ascii="Times New Roman" w:hAnsi="Times New Roman" w:cs="Times New Roman"/>
          <w:sz w:val="24"/>
          <w:szCs w:val="24"/>
        </w:rPr>
        <w:t xml:space="preserve"> finance the acquisition of Kettle Foods hence raising borrowing.</w:t>
      </w:r>
    </w:p>
    <w:p w:rsidR="002B0A37" w:rsidRPr="002B0A37" w:rsidRDefault="00110976" w:rsidP="002B0A37">
      <w:pPr>
        <w:spacing w:line="480" w:lineRule="auto"/>
        <w:ind w:firstLine="720"/>
        <w:contextualSpacing/>
        <w:rPr>
          <w:rFonts w:ascii="Times New Roman" w:hAnsi="Times New Roman" w:cs="Times New Roman"/>
          <w:b/>
          <w:sz w:val="24"/>
          <w:szCs w:val="24"/>
        </w:rPr>
      </w:pPr>
      <w:r w:rsidRPr="002B0A37">
        <w:rPr>
          <w:rFonts w:ascii="Times New Roman" w:hAnsi="Times New Roman" w:cs="Times New Roman"/>
          <w:b/>
          <w:sz w:val="24"/>
          <w:szCs w:val="24"/>
        </w:rPr>
        <w:t>Market Ratios</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 xml:space="preserve">Markets ratio indicates how much investors are willing to pay per dollar of current earnings. The company market capitalization, which is the values of shares outstanding </w:t>
      </w:r>
      <w:r w:rsidRPr="002B0A37">
        <w:rPr>
          <w:rFonts w:ascii="Times New Roman" w:hAnsi="Times New Roman" w:cs="Times New Roman"/>
          <w:sz w:val="24"/>
          <w:szCs w:val="24"/>
        </w:rPr>
        <w:t>multiplied by the price per share divided by total book value.</w:t>
      </w:r>
    </w:p>
    <w:p w:rsidR="002B0A37" w:rsidRPr="002B0A37" w:rsidRDefault="00110976" w:rsidP="002B0A37">
      <w:pPr>
        <w:spacing w:line="480" w:lineRule="auto"/>
        <w:ind w:firstLine="720"/>
        <w:contextualSpacing/>
        <w:rPr>
          <w:rFonts w:ascii="Times New Roman" w:hAnsi="Times New Roman" w:cs="Times New Roman"/>
          <w:sz w:val="24"/>
          <w:szCs w:val="24"/>
        </w:rPr>
      </w:pPr>
      <w:r w:rsidRPr="002B0A37">
        <w:rPr>
          <w:rFonts w:ascii="Times New Roman" w:hAnsi="Times New Roman" w:cs="Times New Roman"/>
          <w:sz w:val="24"/>
          <w:szCs w:val="24"/>
        </w:rPr>
        <w:t>The company performance in the four areas; profitability, liquidity, solvency, and market ratios in comparison to the industry average in the two years under review does not shows sign of a com</w:t>
      </w:r>
      <w:r w:rsidRPr="002B0A37">
        <w:rPr>
          <w:rFonts w:ascii="Times New Roman" w:hAnsi="Times New Roman" w:cs="Times New Roman"/>
          <w:sz w:val="24"/>
          <w:szCs w:val="24"/>
        </w:rPr>
        <w:t>pany under fraud.</w:t>
      </w: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Default="00110976" w:rsidP="002B0A37">
      <w:pPr>
        <w:spacing w:line="480" w:lineRule="auto"/>
        <w:ind w:firstLine="720"/>
        <w:contextualSpacing/>
        <w:jc w:val="center"/>
        <w:rPr>
          <w:rFonts w:ascii="Times New Roman" w:hAnsi="Times New Roman" w:cs="Times New Roman"/>
          <w:sz w:val="24"/>
          <w:szCs w:val="24"/>
        </w:rPr>
      </w:pPr>
    </w:p>
    <w:p w:rsidR="002B0A37" w:rsidRPr="002B0A37" w:rsidRDefault="00110976" w:rsidP="002B0A37">
      <w:pPr>
        <w:spacing w:line="480" w:lineRule="auto"/>
        <w:ind w:firstLine="720"/>
        <w:contextualSpacing/>
        <w:jc w:val="center"/>
        <w:rPr>
          <w:rFonts w:ascii="Times New Roman" w:hAnsi="Times New Roman" w:cs="Times New Roman"/>
          <w:sz w:val="24"/>
          <w:szCs w:val="24"/>
        </w:rPr>
      </w:pPr>
      <w:r w:rsidRPr="002B0A37">
        <w:rPr>
          <w:rFonts w:ascii="Times New Roman" w:hAnsi="Times New Roman" w:cs="Times New Roman"/>
          <w:sz w:val="24"/>
          <w:szCs w:val="24"/>
        </w:rPr>
        <w:t>Work Cited</w:t>
      </w:r>
    </w:p>
    <w:p w:rsidR="002B0A37" w:rsidRPr="002B0A37" w:rsidRDefault="00110976" w:rsidP="002B0A37">
      <w:pPr>
        <w:spacing w:line="480" w:lineRule="auto"/>
        <w:ind w:left="720" w:hanging="720"/>
        <w:contextualSpacing/>
        <w:rPr>
          <w:rFonts w:ascii="Times New Roman" w:hAnsi="Times New Roman" w:cs="Times New Roman"/>
          <w:sz w:val="24"/>
          <w:szCs w:val="24"/>
        </w:rPr>
      </w:pPr>
      <w:r w:rsidRPr="002B0A37">
        <w:rPr>
          <w:rFonts w:ascii="Times New Roman" w:hAnsi="Times New Roman" w:cs="Times New Roman"/>
          <w:sz w:val="24"/>
          <w:szCs w:val="24"/>
        </w:rPr>
        <w:t>Lynch, N. “Diamond Food to pay $ 5 million to Settles Fraud case; Reuter, Business News retrieved from</w:t>
      </w:r>
      <w:r w:rsidRPr="002B0A37">
        <w:rPr>
          <w:rFonts w:ascii="Times New Roman" w:hAnsi="Times New Roman" w:cs="Times New Roman"/>
          <w:i/>
          <w:sz w:val="24"/>
          <w:szCs w:val="24"/>
        </w:rPr>
        <w:t xml:space="preserve"> http:/www.reuters.com/finance</w:t>
      </w:r>
    </w:p>
    <w:p w:rsidR="002B0A37" w:rsidRPr="002B0A37" w:rsidRDefault="00110976" w:rsidP="002B0A37">
      <w:pPr>
        <w:spacing w:line="480" w:lineRule="auto"/>
        <w:ind w:firstLine="720"/>
        <w:contextualSpacing/>
        <w:rPr>
          <w:rFonts w:ascii="Times New Roman" w:hAnsi="Times New Roman" w:cs="Times New Roman"/>
          <w:sz w:val="24"/>
          <w:szCs w:val="24"/>
        </w:rPr>
      </w:pPr>
    </w:p>
    <w:p w:rsidR="002B0A37" w:rsidRPr="002B0A37" w:rsidRDefault="00110976" w:rsidP="002B0A37">
      <w:pPr>
        <w:spacing w:line="480" w:lineRule="auto"/>
        <w:ind w:firstLine="720"/>
        <w:contextualSpacing/>
        <w:rPr>
          <w:rFonts w:ascii="Times New Roman" w:hAnsi="Times New Roman" w:cs="Times New Roman"/>
          <w:sz w:val="24"/>
          <w:szCs w:val="24"/>
        </w:rPr>
      </w:pPr>
    </w:p>
    <w:p w:rsidR="002B0A37" w:rsidRPr="002B0A37" w:rsidRDefault="00110976" w:rsidP="002B0A37">
      <w:pPr>
        <w:spacing w:line="480" w:lineRule="auto"/>
        <w:ind w:firstLine="720"/>
        <w:contextualSpacing/>
        <w:rPr>
          <w:rFonts w:ascii="Times New Roman" w:hAnsi="Times New Roman" w:cs="Times New Roman"/>
          <w:sz w:val="24"/>
          <w:szCs w:val="24"/>
        </w:rPr>
      </w:pPr>
    </w:p>
    <w:p w:rsidR="002B0A37" w:rsidRPr="002B0A37" w:rsidRDefault="00110976" w:rsidP="002B0A37">
      <w:pPr>
        <w:spacing w:line="480" w:lineRule="auto"/>
        <w:ind w:firstLine="720"/>
        <w:contextualSpacing/>
        <w:rPr>
          <w:rFonts w:ascii="Times New Roman" w:hAnsi="Times New Roman" w:cs="Times New Roman"/>
          <w:sz w:val="24"/>
          <w:szCs w:val="24"/>
        </w:rPr>
      </w:pPr>
    </w:p>
    <w:p w:rsidR="002B0A37" w:rsidRPr="002B0A37" w:rsidRDefault="00110976" w:rsidP="002B0A37">
      <w:pPr>
        <w:spacing w:line="480" w:lineRule="auto"/>
        <w:ind w:firstLine="720"/>
        <w:contextualSpacing/>
        <w:rPr>
          <w:rFonts w:ascii="Times New Roman" w:hAnsi="Times New Roman" w:cs="Times New Roman"/>
          <w:sz w:val="24"/>
          <w:szCs w:val="24"/>
        </w:rPr>
      </w:pPr>
    </w:p>
    <w:p w:rsidR="002B0A37" w:rsidRPr="002B0A37" w:rsidRDefault="00110976" w:rsidP="002B0A37">
      <w:pPr>
        <w:contextualSpacing/>
        <w:rPr>
          <w:rFonts w:ascii="Times New Roman" w:hAnsi="Times New Roman" w:cs="Times New Roman"/>
          <w:sz w:val="24"/>
          <w:szCs w:val="24"/>
        </w:rPr>
      </w:pPr>
    </w:p>
    <w:p w:rsidR="002B0A37" w:rsidRPr="002B0A37" w:rsidRDefault="00110976" w:rsidP="002B0A37">
      <w:pPr>
        <w:contextualSpacing/>
        <w:rPr>
          <w:rFonts w:ascii="Times New Roman" w:hAnsi="Times New Roman" w:cs="Times New Roman"/>
          <w:sz w:val="24"/>
          <w:szCs w:val="24"/>
        </w:rPr>
      </w:pPr>
    </w:p>
    <w:p w:rsidR="002B0A37" w:rsidRPr="002B0A37" w:rsidRDefault="00110976" w:rsidP="002B0A37">
      <w:pPr>
        <w:contextualSpacing/>
        <w:rPr>
          <w:rFonts w:ascii="Times New Roman" w:hAnsi="Times New Roman" w:cs="Times New Roman"/>
          <w:sz w:val="24"/>
          <w:szCs w:val="24"/>
        </w:rPr>
      </w:pPr>
    </w:p>
    <w:p w:rsidR="002B0A37" w:rsidRPr="002B0A37" w:rsidRDefault="00110976" w:rsidP="002B0A37">
      <w:pPr>
        <w:contextualSpacing/>
        <w:jc w:val="center"/>
        <w:rPr>
          <w:rFonts w:ascii="Times New Roman" w:hAnsi="Times New Roman" w:cs="Times New Roman"/>
          <w:sz w:val="24"/>
          <w:szCs w:val="24"/>
        </w:rPr>
      </w:pPr>
    </w:p>
    <w:p w:rsidR="002B0A37" w:rsidRPr="002B0A37" w:rsidRDefault="00110976" w:rsidP="002B0A37">
      <w:pPr>
        <w:contextualSpacing/>
        <w:jc w:val="center"/>
        <w:rPr>
          <w:rFonts w:ascii="Times New Roman" w:hAnsi="Times New Roman" w:cs="Times New Roman"/>
          <w:sz w:val="24"/>
          <w:szCs w:val="24"/>
        </w:rPr>
      </w:pPr>
    </w:p>
    <w:p w:rsidR="006F41E9" w:rsidRPr="002B0A37" w:rsidRDefault="00110976">
      <w:pPr>
        <w:rPr>
          <w:rFonts w:ascii="Times New Roman" w:hAnsi="Times New Roman" w:cs="Times New Roman"/>
          <w:sz w:val="24"/>
          <w:szCs w:val="24"/>
        </w:rPr>
      </w:pPr>
    </w:p>
    <w:sectPr w:rsidR="006F41E9" w:rsidRPr="002B0A37">
      <w:headerReference w:type="default" r:id="rId7"/>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E54AFBA" w15:done="0"/>
  <w15:commentEx w15:paraId="79420B4B" w15:done="0"/>
  <w15:commentEx w15:paraId="15AE6B5E" w15:done="0"/>
  <w15:commentEx w15:paraId="7DF75600" w15:done="0"/>
  <w15:commentEx w15:paraId="0B6A3DDD" w15:done="0"/>
  <w15:commentEx w15:paraId="2CFF1907" w15:done="0"/>
  <w15:commentEx w15:paraId="128C49A5" w15:done="0"/>
  <w15:commentEx w15:paraId="D01199F5" w15:done="0"/>
  <w15:commentEx w15:paraId="37E0F11C" w15:done="0"/>
  <w15:commentEx w15:paraId="FBF7E230" w15:done="0"/>
  <w15:commentEx w15:paraId="E4BDCEC3" w15:done="0"/>
  <w15:commentEx w15:paraId="1F91E01F" w15:done="0"/>
  <w15:commentEx w15:paraId="B2BC6A10" w15:done="0"/>
  <w15:commentEx w15:paraId="AD5D7A87" w15:done="0"/>
  <w15:commentEx w15:paraId="1AB74977" w15:done="0"/>
  <w15:commentEx w15:paraId="8E486633" w15:done="0"/>
  <w15:commentEx w15:paraId="C6C08B3F" w15:done="0"/>
  <w15:commentEx w15:paraId="59885946" w15:done="0"/>
  <w15:commentEx w15:paraId="B5B1790E" w15:done="0"/>
  <w15:commentEx w15:paraId="0ACAB97B" w15:done="0"/>
  <w15:commentEx w15:paraId="68971C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976" w:rsidRDefault="00110976">
      <w:pPr>
        <w:spacing w:after="0" w:line="240" w:lineRule="auto"/>
      </w:pPr>
      <w:r>
        <w:separator/>
      </w:r>
    </w:p>
  </w:endnote>
  <w:endnote w:type="continuationSeparator" w:id="0">
    <w:p w:rsidR="00110976" w:rsidRDefault="00110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976" w:rsidRDefault="00110976">
      <w:pPr>
        <w:spacing w:after="0" w:line="240" w:lineRule="auto"/>
      </w:pPr>
      <w:r>
        <w:separator/>
      </w:r>
    </w:p>
  </w:footnote>
  <w:footnote w:type="continuationSeparator" w:id="0">
    <w:p w:rsidR="00110976" w:rsidRDefault="00110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A37" w:rsidRPr="002B0A37" w:rsidRDefault="00110976" w:rsidP="002B0A37">
    <w:pPr>
      <w:pStyle w:val="Header"/>
      <w:jc w:val="right"/>
      <w:rPr>
        <w:rFonts w:ascii="Times New Roman" w:hAnsi="Times New Roman" w:cs="Times New Roman"/>
        <w:sz w:val="24"/>
        <w:szCs w:val="24"/>
      </w:rPr>
    </w:pPr>
    <w:r w:rsidRPr="002B0A37">
      <w:rPr>
        <w:rFonts w:ascii="Times New Roman" w:hAnsi="Times New Roman" w:cs="Times New Roman"/>
        <w:sz w:val="24"/>
        <w:szCs w:val="24"/>
      </w:rPr>
      <w:t xml:space="preserve">Surname </w:t>
    </w:r>
    <w:r w:rsidRPr="002B0A37">
      <w:rPr>
        <w:rFonts w:ascii="Times New Roman" w:hAnsi="Times New Roman" w:cs="Times New Roman"/>
        <w:sz w:val="24"/>
        <w:szCs w:val="24"/>
      </w:rPr>
      <w:fldChar w:fldCharType="begin"/>
    </w:r>
    <w:r w:rsidRPr="002B0A37">
      <w:rPr>
        <w:rFonts w:ascii="Times New Roman" w:hAnsi="Times New Roman" w:cs="Times New Roman"/>
        <w:sz w:val="24"/>
        <w:szCs w:val="24"/>
      </w:rPr>
      <w:instrText xml:space="preserve"> PAGE  \* Arabic  \* MERGEFORMAT </w:instrText>
    </w:r>
    <w:r w:rsidRPr="002B0A37">
      <w:rPr>
        <w:rFonts w:ascii="Times New Roman" w:hAnsi="Times New Roman" w:cs="Times New Roman"/>
        <w:sz w:val="24"/>
        <w:szCs w:val="24"/>
      </w:rPr>
      <w:fldChar w:fldCharType="separate"/>
    </w:r>
    <w:r w:rsidR="00024B93">
      <w:rPr>
        <w:rFonts w:ascii="Times New Roman" w:hAnsi="Times New Roman" w:cs="Times New Roman"/>
        <w:noProof/>
        <w:sz w:val="24"/>
        <w:szCs w:val="24"/>
      </w:rPr>
      <w:t>1</w:t>
    </w:r>
    <w:r w:rsidRPr="002B0A37">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906"/>
    <w:rsid w:val="00024B93"/>
    <w:rsid w:val="00110976"/>
    <w:rsid w:val="00295906"/>
    <w:rsid w:val="00ED2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A37"/>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0A37"/>
    <w:pPr>
      <w:spacing w:after="0" w:line="240" w:lineRule="auto"/>
      <w:ind w:firstLine="0"/>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B0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A37"/>
    <w:rPr>
      <w:rFonts w:asciiTheme="minorHAnsi" w:hAnsiTheme="minorHAnsi"/>
      <w:sz w:val="22"/>
    </w:rPr>
  </w:style>
  <w:style w:type="paragraph" w:styleId="Footer">
    <w:name w:val="footer"/>
    <w:basedOn w:val="Normal"/>
    <w:link w:val="FooterChar"/>
    <w:uiPriority w:val="99"/>
    <w:unhideWhenUsed/>
    <w:rsid w:val="002B0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A37"/>
    <w:rPr>
      <w:rFonts w:asciiTheme="minorHAnsi" w:hAnsiTheme="minorHAnsi"/>
      <w:sz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sz w:val="20"/>
      <w:szCs w:val="20"/>
    </w:rPr>
  </w:style>
  <w:style w:type="paragraph" w:styleId="BalloonText">
    <w:name w:val="Balloon Text"/>
    <w:basedOn w:val="Normal"/>
    <w:link w:val="BalloonTextChar"/>
    <w:uiPriority w:val="99"/>
    <w:semiHidden/>
    <w:unhideWhenUsed/>
    <w:rsid w:val="00024B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B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A37"/>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0A37"/>
    <w:pPr>
      <w:spacing w:after="0" w:line="240" w:lineRule="auto"/>
      <w:ind w:firstLine="0"/>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B0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A37"/>
    <w:rPr>
      <w:rFonts w:asciiTheme="minorHAnsi" w:hAnsiTheme="minorHAnsi"/>
      <w:sz w:val="22"/>
    </w:rPr>
  </w:style>
  <w:style w:type="paragraph" w:styleId="Footer">
    <w:name w:val="footer"/>
    <w:basedOn w:val="Normal"/>
    <w:link w:val="FooterChar"/>
    <w:uiPriority w:val="99"/>
    <w:unhideWhenUsed/>
    <w:rsid w:val="002B0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A37"/>
    <w:rPr>
      <w:rFonts w:asciiTheme="minorHAnsi" w:hAnsiTheme="minorHAnsi"/>
      <w:sz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sz w:val="20"/>
      <w:szCs w:val="20"/>
    </w:rPr>
  </w:style>
  <w:style w:type="paragraph" w:styleId="BalloonText">
    <w:name w:val="Balloon Text"/>
    <w:basedOn w:val="Normal"/>
    <w:link w:val="BalloonTextChar"/>
    <w:uiPriority w:val="99"/>
    <w:semiHidden/>
    <w:unhideWhenUsed/>
    <w:rsid w:val="00024B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B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2018-02-19T19:01:00Z</dcterms:created>
  <dcterms:modified xsi:type="dcterms:W3CDTF">2018-02-19T19:01:00Z</dcterms:modified>
</cp:coreProperties>
</file>